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6FF6" w14:textId="77777777" w:rsidR="002147EA" w:rsidRPr="002147EA" w:rsidRDefault="002147EA" w:rsidP="002147EA">
      <w:pPr>
        <w:shd w:val="clear" w:color="auto" w:fill="EE3123"/>
        <w:spacing w:before="150" w:after="150" w:line="330" w:lineRule="atLeast"/>
        <w:outlineLvl w:val="0"/>
        <w:rPr>
          <w:rFonts w:ascii="inherit" w:eastAsia="Times New Roman" w:hAnsi="inherit" w:cs="Times New Roman"/>
          <w:b/>
          <w:bCs/>
          <w:color w:val="FFFFFF"/>
          <w:kern w:val="36"/>
          <w:sz w:val="30"/>
          <w:szCs w:val="30"/>
        </w:rPr>
      </w:pPr>
      <w:r w:rsidRPr="002147EA">
        <w:rPr>
          <w:rFonts w:ascii="inherit" w:eastAsia="Times New Roman" w:hAnsi="inherit" w:cs="Times New Roman"/>
          <w:b/>
          <w:bCs/>
          <w:color w:val="FFFFFF"/>
          <w:kern w:val="36"/>
          <w:sz w:val="30"/>
          <w:szCs w:val="30"/>
        </w:rPr>
        <w:t>Guide for Hazardous Areas</w:t>
      </w:r>
    </w:p>
    <w:p w14:paraId="47F7082F" w14:textId="77777777" w:rsidR="002147EA" w:rsidRPr="002147EA" w:rsidRDefault="002147EA" w:rsidP="002147EA">
      <w:pPr>
        <w:shd w:val="clear" w:color="auto" w:fill="EE312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Hazardous areas according to ATEX and IECEx Zones</w:t>
      </w:r>
    </w:p>
    <w:p w14:paraId="6B01C86A" w14:textId="77777777" w:rsidR="002147EA" w:rsidRPr="002147EA" w:rsidRDefault="002147EA" w:rsidP="002147EA">
      <w:pPr>
        <w:shd w:val="clear" w:color="auto" w:fill="EE312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Hazardous areas according to North American classes and divisions</w:t>
      </w:r>
    </w:p>
    <w:p w14:paraId="3E728671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Zones</w:t>
      </w:r>
      <w:r w:rsidRPr="0021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 define the type of explosive atmosphere as well as the likelihood of an explosive atmosphere being present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9C614F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gas atmosphere present continuously or for long periods </w:t>
      </w:r>
    </w:p>
    <w:p w14:paraId="6C4DFFBE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gas atmosphere likely to occur in normal operation </w:t>
      </w:r>
    </w:p>
    <w:p w14:paraId="07591962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gas atmosphere not likely to occur in normal operation but may be present for short periods </w:t>
      </w:r>
    </w:p>
    <w:p w14:paraId="002F73BC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dust atmosphere present continuously or for long periods </w:t>
      </w:r>
    </w:p>
    <w:p w14:paraId="3777B070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21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dust atmosphere likely to occur in normal operation </w:t>
      </w:r>
    </w:p>
    <w:p w14:paraId="05B89AED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22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Explosive dust atmosphere not likely to occur in normal operation but may be present for short periods</w:t>
      </w:r>
    </w:p>
    <w:p w14:paraId="161C169F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C7ECB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911F4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Classes</w:t>
      </w:r>
      <w:r w:rsidRPr="0021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 define the type of explosive atmosphere </w:t>
      </w:r>
    </w:p>
    <w:p w14:paraId="2AF2A02C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A location made hazardous by the presence of flammable gas or </w:t>
      </w:r>
      <w:proofErr w:type="spellStart"/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vapour</w:t>
      </w:r>
      <w:proofErr w:type="spellEnd"/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may be present in the air in quantities sufficient to produce an explosive or ignitable mixture</w:t>
      </w:r>
    </w:p>
    <w:p w14:paraId="38F78C5B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II</w:t>
      </w:r>
      <w:r w:rsidRPr="0021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- A location made hazardous by the presence of combustible or electrically conductive dust</w:t>
      </w:r>
    </w:p>
    <w:p w14:paraId="0BD046C5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III 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 location made hazardous by the presence of easily ignitable fibers or </w:t>
      </w:r>
      <w:proofErr w:type="spellStart"/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flyings</w:t>
      </w:r>
      <w:proofErr w:type="spellEnd"/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air, but not likely to be in suspension in quantities sufficient to produce ignitable mixtures</w:t>
      </w:r>
    </w:p>
    <w:p w14:paraId="5037A086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Divisions</w:t>
      </w:r>
      <w:r w:rsidRPr="002147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1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define the likelihood of an explosive atmosphere being present</w:t>
      </w:r>
    </w:p>
    <w:p w14:paraId="01160DEC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A location where a classified hazard exists or is likely to exist under normal conditions</w:t>
      </w:r>
    </w:p>
    <w:p w14:paraId="4620D706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 w:rsidRPr="002147EA">
        <w:rPr>
          <w:rFonts w:ascii="Times New Roman" w:eastAsia="Times New Roman" w:hAnsi="Times New Roman" w:cs="Times New Roman"/>
          <w:color w:val="000000"/>
          <w:sz w:val="24"/>
          <w:szCs w:val="24"/>
        </w:rPr>
        <w:t> - A location where a classified hazard does not normally but is possible to appear under abnormal conditions</w:t>
      </w:r>
    </w:p>
    <w:p w14:paraId="74E5D52C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Canada </w:t>
      </w:r>
      <w:r w:rsidRPr="002147EA">
        <w:rPr>
          <w:rFonts w:ascii="Times New Roman" w:eastAsia="Times New Roman" w:hAnsi="Times New Roman" w:cs="Times New Roman"/>
          <w:sz w:val="24"/>
          <w:szCs w:val="24"/>
        </w:rPr>
        <w:t>new installation must now use the Class / Zone system of Zones instead of Divisions. Existing installations may use either system.</w:t>
      </w:r>
    </w:p>
    <w:p w14:paraId="302FF60A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b/>
          <w:bCs/>
          <w:sz w:val="24"/>
          <w:szCs w:val="24"/>
        </w:rPr>
        <w:t>In the USA</w:t>
      </w:r>
      <w:r w:rsidRPr="002147EA">
        <w:rPr>
          <w:rFonts w:ascii="Times New Roman" w:eastAsia="Times New Roman" w:hAnsi="Times New Roman" w:cs="Times New Roman"/>
          <w:sz w:val="24"/>
          <w:szCs w:val="24"/>
        </w:rPr>
        <w:t>, all installations can use either the Class / Division or the Class / Zone system.</w:t>
      </w:r>
    </w:p>
    <w:p w14:paraId="3AFEBD9E" w14:textId="77777777" w:rsidR="002147EA" w:rsidRPr="002147EA" w:rsidRDefault="002147EA" w:rsidP="0021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34"/>
        <w:gridCol w:w="1582"/>
        <w:gridCol w:w="1477"/>
        <w:gridCol w:w="1631"/>
        <w:gridCol w:w="1665"/>
      </w:tblGrid>
      <w:tr w:rsidR="002147EA" w:rsidRPr="002147EA" w14:paraId="623F5EEA" w14:textId="77777777" w:rsidTr="002147EA">
        <w:tc>
          <w:tcPr>
            <w:tcW w:w="0" w:type="auto"/>
            <w:shd w:val="clear" w:color="auto" w:fill="auto"/>
            <w:vAlign w:val="center"/>
            <w:hideMark/>
          </w:tcPr>
          <w:p w14:paraId="59BD240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ATEX equipment group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BDAE9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ATEX equipment category and environment type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A099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Zone classification ATEX / IECEx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EC3BD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Required equipment protection level (EPL)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81A6E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/ Zone classification US / Canada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AAF9A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b/>
                <w:bCs/>
                <w:color w:val="EE3123"/>
                <w:sz w:val="24"/>
                <w:szCs w:val="24"/>
              </w:rPr>
              <w:t>Class / Division classification US / Canada</w:t>
            </w:r>
          </w:p>
        </w:tc>
      </w:tr>
      <w:tr w:rsidR="002147EA" w:rsidRPr="002147EA" w14:paraId="0FB673A8" w14:textId="77777777" w:rsidTr="002147EA">
        <w:tc>
          <w:tcPr>
            <w:tcW w:w="0" w:type="auto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292B2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69191D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M1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F52BE1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A10F03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C9A96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Merge w:val="restart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73A61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Mining</w:t>
            </w:r>
          </w:p>
        </w:tc>
      </w:tr>
      <w:tr w:rsidR="002147EA" w:rsidRPr="002147EA" w14:paraId="512D40FE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7F9E3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587EF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M2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9CC18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B83813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4BEBF3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A781D9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</w:tr>
      <w:tr w:rsidR="002147EA" w:rsidRPr="002147EA" w14:paraId="1CFBD627" w14:textId="77777777" w:rsidTr="002147EA">
        <w:tc>
          <w:tcPr>
            <w:tcW w:w="0" w:type="auto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31DF9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II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41C128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1G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C045B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5FF564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5F18C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1, Zone 0</w:t>
            </w:r>
          </w:p>
        </w:tc>
        <w:tc>
          <w:tcPr>
            <w:tcW w:w="0" w:type="auto"/>
            <w:vMerge w:val="restart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030C4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Class I, Division 1</w:t>
            </w:r>
          </w:p>
        </w:tc>
      </w:tr>
      <w:tr w:rsidR="002147EA" w:rsidRPr="002147EA" w14:paraId="2A30D42C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534EE5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06479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2G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424C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1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338204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FB53B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1, Zone 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89A3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</w:tr>
      <w:tr w:rsidR="002147EA" w:rsidRPr="002147EA" w14:paraId="0D2624C5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486B8F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3230B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3G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42B86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2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B674F2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Gc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B12368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1, Zone 2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A82F29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Class I, Division 2</w:t>
            </w:r>
          </w:p>
        </w:tc>
      </w:tr>
      <w:tr w:rsidR="002147EA" w:rsidRPr="002147EA" w14:paraId="2116384C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5D4A2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F155B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1D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7207C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20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A11CE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DED24A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1, Zone 20</w:t>
            </w:r>
          </w:p>
        </w:tc>
        <w:tc>
          <w:tcPr>
            <w:tcW w:w="0" w:type="auto"/>
            <w:vMerge w:val="restart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62AD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Class II, Division 1</w:t>
            </w:r>
          </w:p>
        </w:tc>
      </w:tr>
      <w:tr w:rsidR="002147EA" w:rsidRPr="002147EA" w14:paraId="7E147DA1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7A8C4E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657E3A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2D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85482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21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EC61C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2F392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11, Zone 21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6E1E3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</w:tr>
      <w:tr w:rsidR="002147EA" w:rsidRPr="002147EA" w14:paraId="0A48B039" w14:textId="77777777" w:rsidTr="002147E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248438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14690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3D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2CE3A4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Zone 22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608E8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08FB7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sz w:val="24"/>
                <w:szCs w:val="24"/>
              </w:rPr>
              <w:t>Class 11, Zone 22</w:t>
            </w:r>
          </w:p>
        </w:tc>
        <w:tc>
          <w:tcPr>
            <w:tcW w:w="0" w:type="auto"/>
            <w:shd w:val="clear" w:color="auto" w:fill="EDEE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061461" w14:textId="77777777" w:rsidR="002147EA" w:rsidRPr="002147EA" w:rsidRDefault="002147EA" w:rsidP="0021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</w:pPr>
            <w:r w:rsidRPr="002147EA">
              <w:rPr>
                <w:rFonts w:ascii="Times New Roman" w:eastAsia="Times New Roman" w:hAnsi="Times New Roman" w:cs="Times New Roman"/>
                <w:color w:val="EE3123"/>
                <w:sz w:val="24"/>
                <w:szCs w:val="24"/>
              </w:rPr>
              <w:t>Class II, Division 2, Class III</w:t>
            </w:r>
          </w:p>
        </w:tc>
      </w:tr>
    </w:tbl>
    <w:p w14:paraId="219D2C29" w14:textId="77777777" w:rsidR="002147EA" w:rsidRPr="002147EA" w:rsidRDefault="002147EA" w:rsidP="002147EA">
      <w:pPr>
        <w:spacing w:after="0" w:line="240" w:lineRule="auto"/>
        <w:rPr>
          <w:rFonts w:ascii="Times New Roman" w:eastAsia="Times New Roman" w:hAnsi="Times New Roman" w:cs="Times New Roman"/>
          <w:color w:val="EE3123"/>
          <w:sz w:val="24"/>
          <w:szCs w:val="24"/>
        </w:rPr>
      </w:pPr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47E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"https://twitter.com/intent/tweet?url=http://www.e2s.com/information/guide-to-hazardous-areas" \t "_blank" </w:instrText>
      </w:r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5B3F63D" w14:textId="77777777" w:rsidR="002147EA" w:rsidRPr="002147EA" w:rsidRDefault="002147EA" w:rsidP="002147EA">
      <w:pPr>
        <w:spacing w:after="0" w:line="240" w:lineRule="auto"/>
        <w:rPr>
          <w:rFonts w:ascii="Times New Roman" w:eastAsia="Times New Roman" w:hAnsi="Times New Roman" w:cs="Times New Roman"/>
          <w:color w:val="EE3123"/>
          <w:sz w:val="24"/>
          <w:szCs w:val="24"/>
          <w:u w:val="single"/>
        </w:rPr>
      </w:pPr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147E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"https://www.facebook.com/sharer/sharer.php?u=http://www.e2s.com/information/guide-to-hazardous-areas" \t "_blank" </w:instrText>
      </w:r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02C4E3C" w14:textId="0C83D4AB" w:rsidR="002147EA" w:rsidRDefault="002147EA" w:rsidP="002147EA">
      <w:r w:rsidRPr="002147E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4" w:tgtFrame="_blank" w:history="1">
        <w:r w:rsidRPr="002147EA">
          <w:rPr>
            <w:rFonts w:ascii="Times New Roman" w:eastAsia="Times New Roman" w:hAnsi="Times New Roman" w:cs="Times New Roman"/>
            <w:color w:val="EE3123"/>
            <w:sz w:val="24"/>
            <w:szCs w:val="24"/>
          </w:rPr>
          <w:br/>
        </w:r>
      </w:hyperlink>
      <w:r w:rsidR="0013087C">
        <w:rPr>
          <w:noProof/>
        </w:rPr>
        <w:drawing>
          <wp:inline distT="0" distB="0" distL="0" distR="0" wp14:anchorId="38824A69" wp14:editId="3D0B309C">
            <wp:extent cx="5943600" cy="969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A"/>
    <w:rsid w:val="0013087C"/>
    <w:rsid w:val="002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567B"/>
  <w15:chartTrackingRefBased/>
  <w15:docId w15:val="{FBB83123-D243-4DD4-ADC4-FD83AE1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666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4551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94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2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55163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7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12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30313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4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61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99046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742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linkedin.com/shareArticle?mini=true&amp;url=http://www.e2s.com/information/guide-to-hazardous-ar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 Myerson</cp:lastModifiedBy>
  <cp:revision>2</cp:revision>
  <dcterms:created xsi:type="dcterms:W3CDTF">2021-04-07T13:38:00Z</dcterms:created>
  <dcterms:modified xsi:type="dcterms:W3CDTF">2021-04-07T13:38:00Z</dcterms:modified>
</cp:coreProperties>
</file>